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widowControl/>
        <w:suppressLineNumbers w:val="0"/>
        <w:shd w:val="clear" w:fill="FFFFFF"/>
        <w:spacing w:before="384" w:beforeAutospacing="0" w:after="192" w:afterAutospacing="0"/>
        <w:ind w:left="0" w:right="0" w:firstLine="0"/>
        <w:jc w:val="center"/>
        <w:rPr>
          <w:rStyle w:val="11"/>
          <w:rFonts w:hint="eastAsia" w:ascii="华文中宋" w:hAnsi="华文中宋" w:eastAsia="华文中宋" w:cs="华文中宋"/>
          <w:b/>
          <w:i w:val="0"/>
          <w:iCs w:val="0"/>
          <w:caps w:val="0"/>
          <w:color w:val="0F1115"/>
          <w:spacing w:val="0"/>
          <w:sz w:val="36"/>
          <w:szCs w:val="36"/>
          <w:shd w:val="clear" w:fill="FFFFFF"/>
        </w:rPr>
      </w:pPr>
      <w:r>
        <w:rPr>
          <w:rStyle w:val="11"/>
          <w:rFonts w:hint="eastAsia" w:ascii="华文中宋" w:hAnsi="华文中宋" w:eastAsia="华文中宋" w:cs="华文中宋"/>
          <w:b/>
          <w:i w:val="0"/>
          <w:iCs w:val="0"/>
          <w:caps w:val="0"/>
          <w:color w:val="0F1115"/>
          <w:spacing w:val="0"/>
          <w:sz w:val="36"/>
          <w:szCs w:val="36"/>
          <w:shd w:val="clear" w:fill="FFFFFF"/>
        </w:rPr>
        <w:t>农技耘APP操作手册（产权交易模块）</w:t>
      </w:r>
    </w:p>
    <w:p>
      <w:pPr>
        <w:rPr>
          <w:rStyle w:val="11"/>
          <w:rFonts w:hint="eastAsia" w:ascii="华文中宋" w:hAnsi="华文中宋" w:eastAsia="华文中宋" w:cs="华文中宋"/>
          <w:i w:val="0"/>
          <w:iCs w:val="0"/>
          <w:caps w:val="0"/>
          <w:color w:val="0F1115"/>
          <w:spacing w:val="0"/>
          <w:sz w:val="36"/>
          <w:szCs w:val="36"/>
          <w:shd w:val="clear" w:fill="FFFFFF"/>
        </w:rPr>
      </w:pPr>
    </w:p>
    <w:p>
      <w:pPr>
        <w:rPr>
          <w:rStyle w:val="11"/>
          <w:rFonts w:hint="eastAsia" w:ascii="华文中宋" w:hAnsi="华文中宋" w:eastAsia="华文中宋" w:cs="华文中宋"/>
          <w:i w:val="0"/>
          <w:iCs w:val="0"/>
          <w:caps w:val="0"/>
          <w:color w:val="0F1115"/>
          <w:spacing w:val="0"/>
          <w:sz w:val="36"/>
          <w:szCs w:val="36"/>
          <w:shd w:val="clear" w:fill="FFFFFF"/>
        </w:rPr>
      </w:pPr>
    </w:p>
    <w:p>
      <w:pPr>
        <w:rPr>
          <w:rStyle w:val="11"/>
          <w:rFonts w:hint="eastAsia" w:ascii="华文中宋" w:hAnsi="华文中宋" w:eastAsia="华文中宋" w:cs="华文中宋"/>
          <w:i w:val="0"/>
          <w:iCs w:val="0"/>
          <w:caps w:val="0"/>
          <w:color w:val="0F1115"/>
          <w:spacing w:val="0"/>
          <w:sz w:val="36"/>
          <w:szCs w:val="36"/>
          <w:shd w:val="clear" w:fill="FFFFFF"/>
        </w:rPr>
      </w:pPr>
    </w:p>
    <w:p>
      <w:pPr>
        <w:rPr>
          <w:rStyle w:val="11"/>
          <w:rFonts w:hint="eastAsia" w:ascii="华文中宋" w:hAnsi="华文中宋" w:eastAsia="华文中宋" w:cs="华文中宋"/>
          <w:i w:val="0"/>
          <w:iCs w:val="0"/>
          <w:caps w:val="0"/>
          <w:color w:val="0F1115"/>
          <w:spacing w:val="0"/>
          <w:sz w:val="36"/>
          <w:szCs w:val="36"/>
          <w:shd w:val="clear" w:fill="FFFFFF"/>
        </w:rPr>
      </w:pPr>
    </w:p>
    <w:p>
      <w:pPr>
        <w:rPr>
          <w:rStyle w:val="11"/>
          <w:rFonts w:hint="eastAsia" w:ascii="华文中宋" w:hAnsi="华文中宋" w:eastAsia="华文中宋" w:cs="华文中宋"/>
          <w:i w:val="0"/>
          <w:iCs w:val="0"/>
          <w:caps w:val="0"/>
          <w:color w:val="0F1115"/>
          <w:spacing w:val="0"/>
          <w:sz w:val="36"/>
          <w:szCs w:val="36"/>
          <w:shd w:val="clear" w:fill="FFFFFF"/>
        </w:rPr>
      </w:pPr>
    </w:p>
    <w:p>
      <w:pPr>
        <w:jc w:val="center"/>
      </w:pPr>
    </w:p>
    <w:p>
      <w:pPr>
        <w:jc w:val="center"/>
      </w:pPr>
      <w:r>
        <w:drawing>
          <wp:inline distT="0" distB="0" distL="114300" distR="114300">
            <wp:extent cx="2340610" cy="198755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340610" cy="198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keepNext w:val="0"/>
        <w:keepLines w:val="0"/>
        <w:widowControl/>
        <w:suppressLineNumbers w:val="0"/>
        <w:jc w:val="center"/>
      </w:pPr>
      <w:r>
        <w:rPr>
          <w:rFonts w:hint="eastAsia" w:ascii="宋体" w:hAnsi="宋体" w:eastAsia="宋体" w:cs="宋体"/>
          <w:b/>
          <w:bCs/>
          <w:color w:val="000000"/>
          <w:kern w:val="0"/>
          <w:sz w:val="30"/>
          <w:szCs w:val="30"/>
          <w:lang w:val="en-US" w:eastAsia="zh-CN" w:bidi="ar"/>
        </w:rPr>
        <w:t>南京南大尚诚软件科技有限公司</w:t>
      </w:r>
    </w:p>
    <w:p>
      <w:pPr>
        <w:keepNext w:val="0"/>
        <w:keepLines w:val="0"/>
        <w:widowControl/>
        <w:suppressLineNumbers w:val="0"/>
        <w:jc w:val="center"/>
      </w:pPr>
      <w:r>
        <w:rPr>
          <w:rFonts w:hint="eastAsia" w:ascii="宋体" w:hAnsi="宋体" w:eastAsia="宋体" w:cs="宋体"/>
          <w:b/>
          <w:bCs/>
          <w:color w:val="000000"/>
          <w:kern w:val="0"/>
          <w:sz w:val="30"/>
          <w:szCs w:val="30"/>
          <w:lang w:val="en-US" w:eastAsia="zh-CN" w:bidi="ar"/>
        </w:rPr>
        <w:t>2026 年 1月</w:t>
      </w:r>
    </w:p>
    <w:sdt>
      <w:sdtPr>
        <w:rPr>
          <w:rFonts w:ascii="宋体" w:hAnsi="宋体" w:eastAsia="宋体" w:cstheme="minorBidi"/>
          <w:kern w:val="2"/>
          <w:sz w:val="21"/>
          <w:szCs w:val="24"/>
          <w:lang w:val="en-US" w:eastAsia="zh-CN" w:bidi="ar-SA"/>
        </w:rPr>
        <w:id w:val="147454183"/>
        <w15:color w:val="DBDBDB"/>
        <w:docPartObj>
          <w:docPartGallery w:val="Table of Contents"/>
          <w:docPartUnique/>
        </w:docPartObj>
      </w:sdtPr>
      <w:sdtEndP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sdtEndPr>
      <w:sdtContent>
        <w:p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="0" w:beforeLines="0" w:after="0" w:afterLines="0" w:line="360" w:lineRule="auto"/>
            <w:ind w:left="0" w:leftChars="0" w:right="0" w:rightChars="0" w:firstLine="0" w:firstLineChars="0"/>
            <w:jc w:val="center"/>
            <w:textAlignment w:val="auto"/>
            <w:rPr>
              <w:b/>
              <w:bCs/>
              <w:sz w:val="24"/>
              <w:szCs w:val="24"/>
            </w:rPr>
          </w:pPr>
          <w:r>
            <w:rPr>
              <w:rFonts w:ascii="宋体" w:hAnsi="宋体" w:eastAsia="宋体"/>
              <w:b/>
              <w:bCs/>
              <w:sz w:val="24"/>
              <w:szCs w:val="24"/>
            </w:rPr>
            <w:t>目录</w:t>
          </w:r>
        </w:p>
        <w:p>
          <w:pPr>
            <w:pStyle w:val="6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textAlignment w:val="auto"/>
            <w:rPr>
              <w:rFonts w:hint="eastAsia" w:eastAsiaTheme="minorEastAsia"/>
              <w:sz w:val="24"/>
              <w:szCs w:val="24"/>
              <w:lang w:val="en-US" w:eastAsia="zh-CN"/>
            </w:rPr>
          </w:pPr>
          <w:r>
            <w:rPr>
              <w:rFonts w:hint="eastAsia"/>
              <w:sz w:val="24"/>
              <w:szCs w:val="24"/>
            </w:rPr>
            <w:fldChar w:fldCharType="begin"/>
          </w:r>
          <w:r>
            <w:rPr>
              <w:rFonts w:hint="eastAsia"/>
              <w:sz w:val="24"/>
              <w:szCs w:val="24"/>
            </w:rPr>
            <w:instrText xml:space="preserve">TOC \o "1-2" \h \u </w:instrText>
          </w:r>
          <w:r>
            <w:rPr>
              <w:rFonts w:hint="eastAsia"/>
              <w:sz w:val="24"/>
              <w:szCs w:val="24"/>
            </w:rPr>
            <w:fldChar w:fldCharType="separate"/>
          </w:r>
          <w:r>
            <w:rPr>
              <w:rFonts w:hint="eastAsia"/>
              <w:sz w:val="24"/>
              <w:szCs w:val="24"/>
            </w:rPr>
            <w:fldChar w:fldCharType="begin"/>
          </w:r>
          <w:r>
            <w:rPr>
              <w:rFonts w:hint="eastAsia"/>
              <w:sz w:val="24"/>
              <w:szCs w:val="24"/>
            </w:rPr>
            <w:instrText xml:space="preserve"> HYPERLINK \l _Toc12489 </w:instrText>
          </w:r>
          <w:r>
            <w:rPr>
              <w:rFonts w:hint="eastAsia"/>
              <w:sz w:val="24"/>
              <w:szCs w:val="24"/>
            </w:rPr>
            <w:fldChar w:fldCharType="separate"/>
          </w:r>
          <w:r>
            <w:rPr>
              <w:rFonts w:hint="eastAsia"/>
              <w:sz w:val="24"/>
              <w:szCs w:val="24"/>
            </w:rPr>
            <w:t xml:space="preserve">一、 </w:t>
          </w:r>
          <w:r>
            <w:rPr>
              <w:rFonts w:hint="default"/>
              <w:sz w:val="24"/>
              <w:szCs w:val="24"/>
            </w:rPr>
            <w:t xml:space="preserve">注册 </w:t>
          </w:r>
          <w:r>
            <w:rPr>
              <w:sz w:val="24"/>
              <w:szCs w:val="24"/>
            </w:rPr>
            <w:tab/>
          </w:r>
          <w:r>
            <w:rPr>
              <w:rFonts w:hint="eastAsia"/>
              <w:sz w:val="24"/>
              <w:szCs w:val="24"/>
              <w:lang w:val="en-US" w:eastAsia="zh-CN"/>
            </w:rPr>
            <w:t>3</w:t>
          </w:r>
        </w:p>
        <w:p>
          <w:pPr>
            <w:pStyle w:val="6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ind w:firstLine="480" w:firstLineChars="200"/>
            <w:textAlignment w:val="auto"/>
            <w:rPr>
              <w:sz w:val="24"/>
              <w:szCs w:val="24"/>
            </w:rPr>
          </w:pPr>
          <w:r>
            <w:rPr>
              <w:rFonts w:hint="eastAsia"/>
              <w:sz w:val="24"/>
              <w:szCs w:val="24"/>
              <w:lang w:val="en-US" w:eastAsia="zh-CN"/>
            </w:rPr>
            <w:t>1.1</w:t>
          </w:r>
          <w:r>
            <w:rPr>
              <w:rFonts w:hint="default"/>
              <w:sz w:val="24"/>
              <w:szCs w:val="24"/>
            </w:rPr>
            <w:t>下载安装</w:t>
          </w:r>
          <w:r>
            <w:rPr>
              <w:sz w:val="24"/>
              <w:szCs w:val="24"/>
            </w:rPr>
            <w:tab/>
          </w: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PAGEREF _Toc12489 \h </w:instrText>
          </w:r>
          <w:r>
            <w:rPr>
              <w:sz w:val="24"/>
              <w:szCs w:val="24"/>
            </w:rPr>
            <w:fldChar w:fldCharType="separate"/>
          </w:r>
          <w:r>
            <w:rPr>
              <w:sz w:val="24"/>
              <w:szCs w:val="24"/>
            </w:rPr>
            <w:t>3</w:t>
          </w:r>
          <w:r>
            <w:rPr>
              <w:sz w:val="24"/>
              <w:szCs w:val="24"/>
            </w:rPr>
            <w:fldChar w:fldCharType="end"/>
          </w:r>
          <w:r>
            <w:rPr>
              <w:rFonts w:hint="eastAsia"/>
              <w:sz w:val="24"/>
              <w:szCs w:val="24"/>
            </w:rPr>
            <w:fldChar w:fldCharType="end"/>
          </w:r>
        </w:p>
        <w:p>
          <w:pPr>
            <w:pStyle w:val="7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textAlignment w:val="auto"/>
            <w:rPr>
              <w:sz w:val="24"/>
              <w:szCs w:val="24"/>
            </w:rPr>
          </w:pPr>
          <w:r>
            <w:rPr>
              <w:rFonts w:hint="eastAsia"/>
              <w:sz w:val="24"/>
              <w:szCs w:val="24"/>
            </w:rPr>
            <w:fldChar w:fldCharType="begin"/>
          </w:r>
          <w:r>
            <w:rPr>
              <w:rFonts w:hint="eastAsia"/>
              <w:sz w:val="24"/>
              <w:szCs w:val="24"/>
            </w:rPr>
            <w:instrText xml:space="preserve"> HYPERLINK \l _Toc4575 </w:instrText>
          </w:r>
          <w:r>
            <w:rPr>
              <w:rFonts w:hint="eastAsia"/>
              <w:sz w:val="24"/>
              <w:szCs w:val="24"/>
            </w:rPr>
            <w:fldChar w:fldCharType="separate"/>
          </w:r>
          <w:r>
            <w:rPr>
              <w:rFonts w:hint="eastAsia"/>
              <w:sz w:val="24"/>
              <w:szCs w:val="24"/>
              <w:lang w:val="en-US" w:eastAsia="zh-CN"/>
            </w:rPr>
            <w:t>1.2注册/登录</w:t>
          </w:r>
          <w:r>
            <w:rPr>
              <w:sz w:val="24"/>
              <w:szCs w:val="24"/>
            </w:rPr>
            <w:tab/>
          </w: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PAGEREF _Toc4575 \h </w:instrText>
          </w:r>
          <w:r>
            <w:rPr>
              <w:sz w:val="24"/>
              <w:szCs w:val="24"/>
            </w:rPr>
            <w:fldChar w:fldCharType="separate"/>
          </w:r>
          <w:r>
            <w:rPr>
              <w:sz w:val="24"/>
              <w:szCs w:val="24"/>
            </w:rPr>
            <w:t>4</w:t>
          </w:r>
          <w:r>
            <w:rPr>
              <w:sz w:val="24"/>
              <w:szCs w:val="24"/>
            </w:rPr>
            <w:fldChar w:fldCharType="end"/>
          </w:r>
          <w:r>
            <w:rPr>
              <w:rFonts w:hint="eastAsia"/>
              <w:sz w:val="24"/>
              <w:szCs w:val="24"/>
            </w:rPr>
            <w:fldChar w:fldCharType="end"/>
          </w:r>
        </w:p>
        <w:p>
          <w:pPr>
            <w:pStyle w:val="7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textAlignment w:val="auto"/>
            <w:rPr>
              <w:sz w:val="24"/>
              <w:szCs w:val="24"/>
            </w:rPr>
          </w:pPr>
          <w:r>
            <w:rPr>
              <w:rFonts w:hint="eastAsia"/>
              <w:sz w:val="24"/>
              <w:szCs w:val="24"/>
            </w:rPr>
            <w:fldChar w:fldCharType="begin"/>
          </w:r>
          <w:r>
            <w:rPr>
              <w:rFonts w:hint="eastAsia"/>
              <w:sz w:val="24"/>
              <w:szCs w:val="24"/>
            </w:rPr>
            <w:instrText xml:space="preserve"> HYPERLINK \l _Toc25707 </w:instrText>
          </w:r>
          <w:r>
            <w:rPr>
              <w:rFonts w:hint="eastAsia"/>
              <w:sz w:val="24"/>
              <w:szCs w:val="24"/>
            </w:rPr>
            <w:fldChar w:fldCharType="separate"/>
          </w:r>
          <w:r>
            <w:rPr>
              <w:rFonts w:hint="eastAsia"/>
              <w:sz w:val="24"/>
              <w:szCs w:val="24"/>
              <w:lang w:val="en-US" w:eastAsia="zh-CN"/>
            </w:rPr>
            <w:t>1.3登录/实名</w:t>
          </w:r>
          <w:r>
            <w:rPr>
              <w:sz w:val="24"/>
              <w:szCs w:val="24"/>
            </w:rPr>
            <w:tab/>
          </w: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PAGEREF _Toc25707 \h </w:instrText>
          </w:r>
          <w:r>
            <w:rPr>
              <w:sz w:val="24"/>
              <w:szCs w:val="24"/>
            </w:rPr>
            <w:fldChar w:fldCharType="separate"/>
          </w:r>
          <w:r>
            <w:rPr>
              <w:sz w:val="24"/>
              <w:szCs w:val="24"/>
            </w:rPr>
            <w:t>7</w:t>
          </w:r>
          <w:r>
            <w:rPr>
              <w:sz w:val="24"/>
              <w:szCs w:val="24"/>
            </w:rPr>
            <w:fldChar w:fldCharType="end"/>
          </w:r>
          <w:r>
            <w:rPr>
              <w:rFonts w:hint="eastAsia"/>
              <w:sz w:val="24"/>
              <w:szCs w:val="24"/>
            </w:rPr>
            <w:fldChar w:fldCharType="end"/>
          </w:r>
        </w:p>
        <w:p>
          <w:pPr>
            <w:pStyle w:val="6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textAlignment w:val="auto"/>
            <w:rPr>
              <w:sz w:val="24"/>
              <w:szCs w:val="24"/>
            </w:rPr>
          </w:pPr>
          <w:r>
            <w:rPr>
              <w:rFonts w:hint="eastAsia"/>
              <w:sz w:val="24"/>
              <w:szCs w:val="24"/>
            </w:rPr>
            <w:fldChar w:fldCharType="begin"/>
          </w:r>
          <w:r>
            <w:rPr>
              <w:rFonts w:hint="eastAsia"/>
              <w:sz w:val="24"/>
              <w:szCs w:val="24"/>
            </w:rPr>
            <w:instrText xml:space="preserve"> HYPERLINK \l _Toc5843 </w:instrText>
          </w:r>
          <w:r>
            <w:rPr>
              <w:rFonts w:hint="eastAsia"/>
              <w:sz w:val="24"/>
              <w:szCs w:val="24"/>
            </w:rPr>
            <w:fldChar w:fldCharType="separate"/>
          </w:r>
          <w:r>
            <w:rPr>
              <w:rFonts w:hint="eastAsia"/>
              <w:sz w:val="24"/>
              <w:szCs w:val="24"/>
              <w:lang w:val="en-US" w:eastAsia="zh-CN"/>
            </w:rPr>
            <w:t>二、 报名登记</w:t>
          </w:r>
          <w:r>
            <w:rPr>
              <w:sz w:val="24"/>
              <w:szCs w:val="24"/>
            </w:rPr>
            <w:tab/>
          </w: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PAGEREF _Toc5843 \h </w:instrText>
          </w:r>
          <w:r>
            <w:rPr>
              <w:sz w:val="24"/>
              <w:szCs w:val="24"/>
            </w:rPr>
            <w:fldChar w:fldCharType="separate"/>
          </w:r>
          <w:r>
            <w:rPr>
              <w:sz w:val="24"/>
              <w:szCs w:val="24"/>
            </w:rPr>
            <w:t>8</w:t>
          </w:r>
          <w:r>
            <w:rPr>
              <w:sz w:val="24"/>
              <w:szCs w:val="24"/>
            </w:rPr>
            <w:fldChar w:fldCharType="end"/>
          </w:r>
          <w:r>
            <w:rPr>
              <w:rFonts w:hint="eastAsia"/>
              <w:sz w:val="24"/>
              <w:szCs w:val="24"/>
            </w:rPr>
            <w:fldChar w:fldCharType="end"/>
          </w:r>
        </w:p>
        <w:p>
          <w:pPr>
            <w:pStyle w:val="6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textAlignment w:val="auto"/>
            <w:rPr>
              <w:sz w:val="24"/>
              <w:szCs w:val="24"/>
            </w:rPr>
          </w:pPr>
          <w:r>
            <w:rPr>
              <w:rFonts w:hint="eastAsia"/>
              <w:sz w:val="24"/>
              <w:szCs w:val="24"/>
            </w:rPr>
            <w:fldChar w:fldCharType="begin"/>
          </w:r>
          <w:r>
            <w:rPr>
              <w:rFonts w:hint="eastAsia"/>
              <w:sz w:val="24"/>
              <w:szCs w:val="24"/>
            </w:rPr>
            <w:instrText xml:space="preserve"> HYPERLINK \l _Toc7975 </w:instrText>
          </w:r>
          <w:r>
            <w:rPr>
              <w:rFonts w:hint="eastAsia"/>
              <w:sz w:val="24"/>
              <w:szCs w:val="24"/>
            </w:rPr>
            <w:fldChar w:fldCharType="separate"/>
          </w:r>
          <w:r>
            <w:rPr>
              <w:rFonts w:hint="eastAsia"/>
              <w:sz w:val="24"/>
              <w:szCs w:val="24"/>
              <w:lang w:val="en-US" w:eastAsia="zh-CN"/>
            </w:rPr>
            <w:t>三、缴保证金</w:t>
          </w:r>
          <w:r>
            <w:rPr>
              <w:sz w:val="24"/>
              <w:szCs w:val="24"/>
            </w:rPr>
            <w:tab/>
          </w: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PAGEREF _Toc7975 \h </w:instrText>
          </w:r>
          <w:r>
            <w:rPr>
              <w:sz w:val="24"/>
              <w:szCs w:val="24"/>
            </w:rPr>
            <w:fldChar w:fldCharType="separate"/>
          </w:r>
          <w:r>
            <w:rPr>
              <w:sz w:val="24"/>
              <w:szCs w:val="24"/>
            </w:rPr>
            <w:t>12</w:t>
          </w:r>
          <w:r>
            <w:rPr>
              <w:sz w:val="24"/>
              <w:szCs w:val="24"/>
            </w:rPr>
            <w:fldChar w:fldCharType="end"/>
          </w:r>
          <w:r>
            <w:rPr>
              <w:rFonts w:hint="eastAsia"/>
              <w:sz w:val="24"/>
              <w:szCs w:val="24"/>
            </w:rPr>
            <w:fldChar w:fldCharType="end"/>
          </w:r>
        </w:p>
        <w:p>
          <w:pPr>
            <w:pStyle w:val="6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textAlignment w:val="auto"/>
            <w:rPr>
              <w:sz w:val="24"/>
              <w:szCs w:val="24"/>
            </w:rPr>
          </w:pPr>
          <w:r>
            <w:rPr>
              <w:rFonts w:hint="eastAsia"/>
              <w:sz w:val="24"/>
              <w:szCs w:val="24"/>
            </w:rPr>
            <w:fldChar w:fldCharType="begin"/>
          </w:r>
          <w:r>
            <w:rPr>
              <w:rFonts w:hint="eastAsia"/>
              <w:sz w:val="24"/>
              <w:szCs w:val="24"/>
            </w:rPr>
            <w:instrText xml:space="preserve"> HYPERLINK \l _Toc3699 </w:instrText>
          </w:r>
          <w:r>
            <w:rPr>
              <w:rFonts w:hint="eastAsia"/>
              <w:sz w:val="24"/>
              <w:szCs w:val="24"/>
            </w:rPr>
            <w:fldChar w:fldCharType="separate"/>
          </w:r>
          <w:r>
            <w:rPr>
              <w:rFonts w:hint="eastAsia"/>
              <w:sz w:val="24"/>
              <w:szCs w:val="24"/>
              <w:lang w:val="en-US" w:eastAsia="zh-CN"/>
            </w:rPr>
            <w:t>四、出价竞拍</w:t>
          </w:r>
          <w:r>
            <w:rPr>
              <w:sz w:val="24"/>
              <w:szCs w:val="24"/>
            </w:rPr>
            <w:tab/>
          </w: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PAGEREF _Toc3699 \h </w:instrText>
          </w:r>
          <w:r>
            <w:rPr>
              <w:sz w:val="24"/>
              <w:szCs w:val="24"/>
            </w:rPr>
            <w:fldChar w:fldCharType="separate"/>
          </w:r>
          <w:r>
            <w:rPr>
              <w:sz w:val="24"/>
              <w:szCs w:val="24"/>
            </w:rPr>
            <w:t>13</w:t>
          </w:r>
          <w:r>
            <w:rPr>
              <w:sz w:val="24"/>
              <w:szCs w:val="24"/>
            </w:rPr>
            <w:fldChar w:fldCharType="end"/>
          </w:r>
          <w:r>
            <w:rPr>
              <w:rFonts w:hint="eastAsia"/>
              <w:sz w:val="24"/>
              <w:szCs w:val="24"/>
            </w:rPr>
            <w:fldChar w:fldCharType="end"/>
          </w:r>
        </w:p>
        <w:p>
          <w:pPr>
            <w:pStyle w:val="6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textAlignment w:val="auto"/>
            <w:rPr>
              <w:sz w:val="24"/>
              <w:szCs w:val="24"/>
            </w:rPr>
          </w:pPr>
          <w:r>
            <w:rPr>
              <w:rFonts w:hint="eastAsia"/>
              <w:sz w:val="24"/>
              <w:szCs w:val="24"/>
            </w:rPr>
            <w:fldChar w:fldCharType="begin"/>
          </w:r>
          <w:r>
            <w:rPr>
              <w:rFonts w:hint="eastAsia"/>
              <w:sz w:val="24"/>
              <w:szCs w:val="24"/>
            </w:rPr>
            <w:instrText xml:space="preserve"> HYPERLINK \l _Toc13029 </w:instrText>
          </w:r>
          <w:r>
            <w:rPr>
              <w:rFonts w:hint="eastAsia"/>
              <w:sz w:val="24"/>
              <w:szCs w:val="24"/>
            </w:rPr>
            <w:fldChar w:fldCharType="separate"/>
          </w:r>
          <w:r>
            <w:rPr>
              <w:rFonts w:hint="eastAsia"/>
              <w:sz w:val="24"/>
              <w:szCs w:val="24"/>
            </w:rPr>
            <w:t xml:space="preserve">五、 </w:t>
          </w:r>
          <w:r>
            <w:rPr>
              <w:sz w:val="24"/>
              <w:szCs w:val="24"/>
            </w:rPr>
            <w:t>竞拍结果</w:t>
          </w:r>
          <w:r>
            <w:rPr>
              <w:sz w:val="24"/>
              <w:szCs w:val="24"/>
            </w:rPr>
            <w:tab/>
          </w: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PAGEREF _Toc13029 \h </w:instrText>
          </w:r>
          <w:r>
            <w:rPr>
              <w:sz w:val="24"/>
              <w:szCs w:val="24"/>
            </w:rPr>
            <w:fldChar w:fldCharType="separate"/>
          </w:r>
          <w:r>
            <w:rPr>
              <w:sz w:val="24"/>
              <w:szCs w:val="24"/>
            </w:rPr>
            <w:t>15</w:t>
          </w:r>
          <w:r>
            <w:rPr>
              <w:sz w:val="24"/>
              <w:szCs w:val="24"/>
            </w:rPr>
            <w:fldChar w:fldCharType="end"/>
          </w:r>
          <w:r>
            <w:rPr>
              <w:rFonts w:hint="eastAsia"/>
              <w:sz w:val="24"/>
              <w:szCs w:val="24"/>
            </w:rPr>
            <w:fldChar w:fldCharType="end"/>
          </w:r>
        </w:p>
        <w:p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auto"/>
            <w:jc w:val="center"/>
            <w:textAlignment w:val="auto"/>
            <w:rPr>
              <w:rFonts w:hint="eastAsia" w:asciiTheme="minorHAnsi" w:hAnsiTheme="minorHAnsi" w:eastAsiaTheme="minorEastAsia" w:cstheme="minorBidi"/>
              <w:kern w:val="2"/>
              <w:sz w:val="21"/>
              <w:szCs w:val="24"/>
              <w:lang w:val="en-US" w:eastAsia="zh-CN" w:bidi="ar-SA"/>
            </w:rPr>
          </w:pPr>
          <w:r>
            <w:rPr>
              <w:rFonts w:hint="eastAsia"/>
              <w:sz w:val="24"/>
              <w:szCs w:val="24"/>
            </w:rPr>
            <w:fldChar w:fldCharType="end"/>
          </w:r>
        </w:p>
      </w:sdtContent>
    </w:sdt>
    <w:p>
      <w:pPr>
        <w:jc w:val="center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</w:p>
    <w:p>
      <w:pPr>
        <w:pStyle w:val="5"/>
        <w:keepNext w:val="0"/>
        <w:keepLines w:val="0"/>
        <w:widowControl/>
        <w:suppressLineNumbers w:val="0"/>
        <w:shd w:val="clear" w:fill="FFFFFF"/>
        <w:spacing w:before="192" w:beforeAutospacing="0" w:after="96" w:afterAutospacing="0"/>
        <w:ind w:left="0" w:right="0" w:firstLine="0"/>
        <w:rPr>
          <w:rStyle w:val="11"/>
          <w:rFonts w:hint="default" w:ascii="Segoe UI" w:hAnsi="Segoe UI" w:eastAsia="Segoe UI" w:cs="Segoe UI"/>
          <w:b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</w:pPr>
    </w:p>
    <w:p>
      <w:pPr>
        <w:pStyle w:val="2"/>
        <w:numPr>
          <w:ilvl w:val="0"/>
          <w:numId w:val="1"/>
        </w:numPr>
        <w:bidi w:val="0"/>
      </w:pPr>
      <w:bookmarkStart w:id="0" w:name="_Toc12489"/>
      <w:r>
        <w:rPr>
          <w:rFonts w:hint="default"/>
        </w:rPr>
        <w:t>注册</w:t>
      </w:r>
      <w:r>
        <w:rPr>
          <w:rFonts w:hint="default"/>
        </w:rPr>
        <w:br w:type="textWrapping"/>
      </w:r>
      <w:r>
        <w:rPr>
          <w:rStyle w:val="12"/>
          <w:rFonts w:hint="eastAsia"/>
          <w:b/>
          <w:lang w:val="en-US" w:eastAsia="zh-CN"/>
        </w:rPr>
        <w:t>1.1</w:t>
      </w:r>
      <w:r>
        <w:rPr>
          <w:rStyle w:val="12"/>
          <w:rFonts w:hint="default"/>
          <w:b/>
        </w:rPr>
        <w:t>下载安装</w:t>
      </w:r>
      <w:bookmarkEnd w:id="0"/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48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在手机官方应用商店（如苹果App Store或安卓应用商店）搜索“</w:t>
      </w:r>
      <w:r>
        <w:rPr>
          <w:rStyle w:val="11"/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农技耘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”，下载并安装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eastAsia="zh-CN"/>
        </w:rPr>
        <w:t>，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如图1。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48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before="72" w:beforeAutospacing="0" w:after="0" w:afterAutospacing="1"/>
        <w:ind w:left="-360" w:leftChars="0"/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636520" cy="5860415"/>
            <wp:effectExtent l="0" t="0" r="0" b="6985"/>
            <wp:docPr id="2" name="图片 2" descr="661dac52e501269bb00197049aad96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661dac52e501269bb00197049aad96a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36520" cy="586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before="72" w:beforeAutospacing="0" w:after="0" w:afterAutospacing="1"/>
        <w:ind w:left="-360" w:leftChars="0"/>
        <w:jc w:val="center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图1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before="72" w:beforeAutospacing="0" w:after="0" w:afterAutospacing="1"/>
        <w:ind w:left="-360" w:leftChars="0"/>
        <w:jc w:val="center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pacing w:before="72" w:beforeAutospacing="0" w:after="0" w:afterAutospacing="1"/>
        <w:ind w:left="-360" w:leftChars="0"/>
        <w:jc w:val="center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>
      <w:pPr>
        <w:pStyle w:val="3"/>
        <w:bidi w:val="0"/>
        <w:rPr>
          <w:rFonts w:hint="default"/>
          <w:lang w:val="en-US" w:eastAsia="zh-CN"/>
        </w:rPr>
      </w:pPr>
      <w:bookmarkStart w:id="1" w:name="_Toc4575"/>
      <w:r>
        <w:rPr>
          <w:rFonts w:hint="eastAsia"/>
          <w:lang w:val="en-US" w:eastAsia="zh-CN"/>
        </w:rPr>
        <w:t>1.2注册/登录</w:t>
      </w:r>
      <w:bookmarkEnd w:id="1"/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0" w:after="0" w:afterAutospacing="0"/>
        <w:ind w:left="0" w:right="0" w:firstLine="48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安装完成后，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点击桌面图标，打开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“农技耘”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应用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eastAsia="zh-CN"/>
        </w:rPr>
        <w:t>，</w:t>
      </w:r>
      <w:r>
        <w:rPr>
          <w:rStyle w:val="11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进入</w:t>
      </w:r>
      <w:r>
        <w:rPr>
          <w:rStyle w:val="11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系统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，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点击页面底部的“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我的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”，再点击页面顶部的头像进入登录页面，如图2。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0" w:after="0" w:afterAutospacing="0"/>
        <w:ind w:left="0" w:right="0" w:firstLine="480" w:firstLineChars="200"/>
        <w:jc w:val="left"/>
        <w:textAlignment w:val="auto"/>
      </w:pPr>
      <w:r>
        <w:drawing>
          <wp:inline distT="0" distB="0" distL="114300" distR="114300">
            <wp:extent cx="4292600" cy="5723890"/>
            <wp:effectExtent l="0" t="0" r="5080" b="6350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92600" cy="572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0" w:after="0" w:afterAutospacing="0"/>
        <w:ind w:left="0" w:right="0" w:firstLine="420" w:firstLineChars="200"/>
        <w:jc w:val="center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图2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0" w:after="0" w:afterAutospacing="0"/>
        <w:ind w:left="0" w:right="0" w:firstLine="48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</w:pP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0" w:after="0" w:afterAutospacing="0"/>
        <w:ind w:left="0" w:right="0" w:firstLine="48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</w:pP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0" w:after="0" w:afterAutospacing="0"/>
        <w:ind w:left="0" w:right="0" w:firstLine="48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</w:pP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0" w:after="0" w:afterAutospacing="0"/>
        <w:ind w:left="0" w:right="0" w:firstLine="48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</w:pP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0" w:after="0" w:afterAutospacing="0"/>
        <w:ind w:left="0" w:right="0" w:firstLine="48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</w:pP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0" w:after="0" w:afterAutospacing="0"/>
        <w:ind w:left="0" w:right="0" w:firstLine="48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</w:pP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0" w:after="0" w:afterAutospacing="0"/>
        <w:ind w:left="0" w:right="0" w:firstLine="48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</w:pP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0" w:after="0" w:afterAutospacing="0"/>
        <w:ind w:left="0" w:right="0" w:firstLine="48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</w:pP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0" w:after="0" w:afterAutospacing="0"/>
        <w:ind w:left="0" w:right="0" w:firstLine="48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</w:pP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0" w:after="0" w:afterAutospacing="0"/>
        <w:ind w:left="0" w:right="0" w:firstLine="480" w:firstLineChars="200"/>
        <w:textAlignment w:val="auto"/>
        <w:rPr>
          <w:rStyle w:val="11"/>
          <w:rFonts w:hint="eastAsia" w:ascii="宋体" w:hAnsi="宋体" w:eastAsia="宋体" w:cs="宋体"/>
          <w:b w:val="0"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进入登录界面后，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点击“</w:t>
      </w:r>
      <w:r>
        <w:rPr>
          <w:rStyle w:val="11"/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现在注册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”按钮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eastAsia="zh-CN"/>
        </w:rPr>
        <w:t>，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输入</w:t>
      </w:r>
      <w:r>
        <w:rPr>
          <w:rStyle w:val="11"/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手机号码</w:t>
      </w:r>
      <w:r>
        <w:rPr>
          <w:rStyle w:val="11"/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eastAsia="zh-CN"/>
        </w:rPr>
        <w:t>，</w:t>
      </w:r>
      <w:r>
        <w:rPr>
          <w:rStyle w:val="11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eastAsia="zh-CN"/>
        </w:rPr>
        <w:t>点击</w:t>
      </w:r>
      <w:r>
        <w:rPr>
          <w:rStyle w:val="11"/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eastAsia="zh-CN"/>
        </w:rPr>
        <w:t>“获取验证码”</w:t>
      </w:r>
      <w:r>
        <w:rPr>
          <w:rStyle w:val="11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eastAsia="zh-CN"/>
        </w:rPr>
        <w:t>，输入短信收到的验证码。</w:t>
      </w:r>
      <w:r>
        <w:rPr>
          <w:rStyle w:val="11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点击</w:t>
      </w:r>
      <w:r>
        <w:rPr>
          <w:rStyle w:val="11"/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“下一步”</w:t>
      </w:r>
      <w:r>
        <w:rPr>
          <w:rStyle w:val="11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，如图4。（</w:t>
      </w:r>
      <w:r>
        <w:rPr>
          <w:rStyle w:val="11"/>
          <w:rFonts w:hint="eastAsia" w:ascii="宋体" w:hAnsi="宋体" w:eastAsia="宋体" w:cs="宋体"/>
          <w:b/>
          <w:bCs/>
          <w:i w:val="0"/>
          <w:iCs w:val="0"/>
          <w:caps w:val="0"/>
          <w:color w:val="FF0000"/>
          <w:spacing w:val="0"/>
          <w:sz w:val="24"/>
          <w:szCs w:val="24"/>
          <w:shd w:val="clear" w:fill="FFFFFF"/>
          <w:lang w:val="en-US" w:eastAsia="zh-CN"/>
        </w:rPr>
        <w:t>注：若已经注册过江苏省农村产权交易信息服务平台的账号，农技耘</w:t>
      </w:r>
      <w:r>
        <w:rPr>
          <w:rStyle w:val="11"/>
          <w:rFonts w:hint="default" w:ascii="宋体" w:hAnsi="宋体" w:eastAsia="宋体" w:cs="宋体"/>
          <w:b/>
          <w:bCs/>
          <w:i w:val="0"/>
          <w:iCs w:val="0"/>
          <w:caps w:val="0"/>
          <w:color w:val="FF0000"/>
          <w:spacing w:val="0"/>
          <w:sz w:val="24"/>
          <w:szCs w:val="24"/>
          <w:shd w:val="clear" w:fill="FFFFFF"/>
          <w:lang w:eastAsia="zh-CN"/>
          <w:woUserID w:val="1"/>
        </w:rPr>
        <w:t>账号密码不能通用，需要重新</w:t>
      </w:r>
      <w:r>
        <w:rPr>
          <w:rStyle w:val="11"/>
          <w:rFonts w:hint="eastAsia" w:ascii="宋体" w:hAnsi="宋体" w:eastAsia="宋体" w:cs="宋体"/>
          <w:b/>
          <w:bCs/>
          <w:i w:val="0"/>
          <w:iCs w:val="0"/>
          <w:caps w:val="0"/>
          <w:color w:val="FF0000"/>
          <w:spacing w:val="0"/>
          <w:sz w:val="24"/>
          <w:szCs w:val="24"/>
          <w:shd w:val="clear" w:fill="FFFFFF"/>
          <w:lang w:val="en-US" w:eastAsia="zh-CN"/>
        </w:rPr>
        <w:t>注册</w:t>
      </w:r>
      <w:r>
        <w:rPr>
          <w:rStyle w:val="11"/>
          <w:rFonts w:hint="default" w:ascii="宋体" w:hAnsi="宋体" w:eastAsia="宋体" w:cs="宋体"/>
          <w:b/>
          <w:bCs/>
          <w:i w:val="0"/>
          <w:iCs w:val="0"/>
          <w:caps w:val="0"/>
          <w:color w:val="FF0000"/>
          <w:spacing w:val="0"/>
          <w:sz w:val="24"/>
          <w:szCs w:val="24"/>
          <w:shd w:val="clear" w:fill="FFFFFF"/>
          <w:lang w:eastAsia="zh-CN"/>
          <w:woUserID w:val="1"/>
        </w:rPr>
        <w:t>，注册的时候注意绑定</w:t>
      </w:r>
      <w:r>
        <w:rPr>
          <w:rStyle w:val="11"/>
          <w:rFonts w:hint="eastAsia" w:ascii="宋体" w:hAnsi="宋体" w:eastAsia="宋体" w:cs="宋体"/>
          <w:b/>
          <w:bCs/>
          <w:i w:val="0"/>
          <w:iCs w:val="0"/>
          <w:caps w:val="0"/>
          <w:color w:val="FF0000"/>
          <w:spacing w:val="0"/>
          <w:sz w:val="24"/>
          <w:szCs w:val="24"/>
          <w:shd w:val="clear" w:fill="FFFFFF"/>
          <w:lang w:val="en-US" w:eastAsia="zh-CN"/>
        </w:rPr>
        <w:t>的手机号要与产权交易平台的手机号一致</w:t>
      </w:r>
      <w:r>
        <w:rPr>
          <w:rStyle w:val="11"/>
          <w:rFonts w:hint="default" w:ascii="宋体" w:hAnsi="宋体" w:eastAsia="宋体" w:cs="宋体"/>
          <w:b/>
          <w:bCs/>
          <w:i w:val="0"/>
          <w:iCs w:val="0"/>
          <w:caps w:val="0"/>
          <w:color w:val="FF0000"/>
          <w:spacing w:val="0"/>
          <w:sz w:val="24"/>
          <w:szCs w:val="24"/>
          <w:shd w:val="clear" w:fill="FFFFFF"/>
          <w:lang w:eastAsia="zh-CN"/>
          <w:woUserID w:val="1"/>
        </w:rPr>
        <w:t>。</w:t>
      </w:r>
      <w:r>
        <w:rPr>
          <w:rStyle w:val="11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）</w:t>
      </w:r>
    </w:p>
    <w:p>
      <w:pPr>
        <w:jc w:val="center"/>
      </w:pPr>
      <w:r>
        <w:drawing>
          <wp:inline distT="0" distB="0" distL="114300" distR="114300">
            <wp:extent cx="5273675" cy="5441950"/>
            <wp:effectExtent l="0" t="0" r="14605" b="13970"/>
            <wp:docPr id="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544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图4</w:t>
      </w:r>
    </w:p>
    <w:p/>
    <w:p/>
    <w:p/>
    <w:p/>
    <w:p/>
    <w:p/>
    <w:p/>
    <w:p/>
    <w:p/>
    <w:p/>
    <w:p/>
    <w:p>
      <w:pPr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Style w:val="11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输入姓名等基本信息，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设置</w:t>
      </w:r>
      <w:r>
        <w:rPr>
          <w:rStyle w:val="11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登录密码</w:t>
      </w:r>
      <w:r>
        <w:rPr>
          <w:rStyle w:val="11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eastAsia="zh-CN"/>
        </w:rPr>
        <w:t>，</w:t>
      </w:r>
      <w:r>
        <w:rPr>
          <w:rStyle w:val="11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点击</w:t>
      </w:r>
      <w:r>
        <w:rPr>
          <w:rStyle w:val="11"/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“注册”</w:t>
      </w:r>
      <w:r>
        <w:rPr>
          <w:rStyle w:val="11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按钮完成注册，如图5。</w:t>
      </w:r>
    </w:p>
    <w:p>
      <w:pPr>
        <w:jc w:val="center"/>
        <w:rPr>
          <w:rFonts w:hint="eastAsia" w:eastAsiaTheme="minorEastAsia"/>
          <w:lang w:eastAsia="zh-CN"/>
        </w:rPr>
      </w:pPr>
      <w:r>
        <w:drawing>
          <wp:inline distT="0" distB="0" distL="114300" distR="114300">
            <wp:extent cx="3553460" cy="7881620"/>
            <wp:effectExtent l="0" t="0" r="12700" b="12700"/>
            <wp:docPr id="1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53460" cy="788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图5</w:t>
      </w:r>
    </w:p>
    <w:p>
      <w:pPr>
        <w:jc w:val="both"/>
        <w:rPr>
          <w:rFonts w:hint="eastAsia"/>
          <w:lang w:val="en-US" w:eastAsia="zh-CN"/>
        </w:rPr>
      </w:pPr>
    </w:p>
    <w:p>
      <w:pPr>
        <w:pStyle w:val="3"/>
        <w:bidi w:val="0"/>
        <w:rPr>
          <w:rFonts w:hint="default"/>
          <w:lang w:val="en-US" w:eastAsia="zh-CN"/>
        </w:rPr>
      </w:pPr>
      <w:bookmarkStart w:id="2" w:name="_Toc25707"/>
      <w:r>
        <w:rPr>
          <w:rFonts w:hint="eastAsia"/>
          <w:lang w:val="en-US" w:eastAsia="zh-CN"/>
        </w:rPr>
        <w:t>1.3登录/实名</w:t>
      </w:r>
      <w:bookmarkEnd w:id="2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Style w:val="11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</w:pPr>
      <w:r>
        <w:rPr>
          <w:rStyle w:val="11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注册成功后返回登录页面，通过注册的手机号以及密码进行登录，若注册的手机号与微信、QQ、苏服办关联的手机号一致，也可直接点击微信、QQ以及苏服办的图标进行快捷登录，如图6。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Style w:val="11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center"/>
        <w:textAlignment w:val="auto"/>
        <w:rPr>
          <w:rStyle w:val="11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</w:pPr>
      <w:r>
        <w:drawing>
          <wp:inline distT="0" distB="0" distL="114300" distR="114300">
            <wp:extent cx="3359150" cy="7202805"/>
            <wp:effectExtent l="0" t="0" r="8890" b="5715"/>
            <wp:docPr id="1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359150" cy="7202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default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图6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成功登录系统后点击首页的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“产权交易”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模块，进入产权交易主页，点击页面底部的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“我的”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根据系统提示进行实名备案登记，如图7。</w:t>
      </w:r>
    </w:p>
    <w:p>
      <w:pPr>
        <w:jc w:val="both"/>
      </w:pPr>
      <w:r>
        <w:drawing>
          <wp:inline distT="0" distB="0" distL="114300" distR="114300">
            <wp:extent cx="5267325" cy="5219065"/>
            <wp:effectExtent l="0" t="0" r="5715" b="8255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5219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图7</w:t>
      </w:r>
    </w:p>
    <w:p>
      <w:pPr>
        <w:jc w:val="both"/>
        <w:rPr>
          <w:rFonts w:hint="default" w:ascii="宋体" w:hAnsi="宋体" w:eastAsia="宋体" w:cs="宋体"/>
          <w:b/>
          <w:bCs/>
          <w:color w:val="FF0000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FF0000"/>
          <w:lang w:val="en-US" w:eastAsia="zh-CN"/>
        </w:rPr>
        <w:t>注：实名备案时若系统提示银行卡鉴权失败，请检查填写的姓名、身份证号码、银行卡号、银行卡预留的手机号，这四个要素是否正确。</w:t>
      </w:r>
    </w:p>
    <w:p>
      <w:pPr>
        <w:pStyle w:val="2"/>
        <w:numPr>
          <w:ilvl w:val="0"/>
          <w:numId w:val="1"/>
        </w:numPr>
        <w:bidi w:val="0"/>
        <w:ind w:left="0" w:leftChars="0" w:firstLine="0" w:firstLineChars="0"/>
        <w:rPr>
          <w:rFonts w:hint="default"/>
          <w:lang w:val="en-US" w:eastAsia="zh-CN"/>
        </w:rPr>
      </w:pPr>
      <w:bookmarkStart w:id="3" w:name="_Toc5843"/>
      <w:r>
        <w:rPr>
          <w:rFonts w:hint="eastAsia"/>
          <w:lang w:val="en-US" w:eastAsia="zh-CN"/>
        </w:rPr>
        <w:t>报名登记</w:t>
      </w:r>
      <w:bookmarkEnd w:id="3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实名备案完成后即可进行项目报名登记，点击系统首页的</w:t>
      </w:r>
      <w:r>
        <w:rPr>
          <w:rFonts w:hint="eastAsia"/>
          <w:b/>
          <w:bCs/>
          <w:sz w:val="24"/>
          <w:szCs w:val="24"/>
          <w:lang w:val="en-US" w:eastAsia="zh-CN"/>
        </w:rPr>
        <w:t>“产权交易”</w:t>
      </w:r>
      <w:r>
        <w:rPr>
          <w:rFonts w:hint="eastAsia"/>
          <w:sz w:val="24"/>
          <w:szCs w:val="24"/>
          <w:lang w:val="en-US" w:eastAsia="zh-CN"/>
        </w:rPr>
        <w:t>模块，在“产权交易”主页面，浏览正在挂牌的项目。可通过筛选功能（如地区、项目名称关键字）缩小范围进行查询。点击您想报名的具体项目</w:t>
      </w:r>
      <w:r>
        <w:rPr>
          <w:rFonts w:hint="eastAsia"/>
          <w:b/>
          <w:bCs/>
          <w:sz w:val="24"/>
          <w:szCs w:val="24"/>
          <w:lang w:val="en-US" w:eastAsia="zh-CN"/>
        </w:rPr>
        <w:t>“标题”</w:t>
      </w:r>
      <w:r>
        <w:rPr>
          <w:rFonts w:hint="eastAsia"/>
          <w:sz w:val="24"/>
          <w:szCs w:val="24"/>
          <w:lang w:val="en-US" w:eastAsia="zh-CN"/>
        </w:rPr>
        <w:t>，进入项目详情页，如图8。</w:t>
      </w:r>
    </w:p>
    <w:p>
      <w:pPr>
        <w:jc w:val="center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9230" cy="5269230"/>
            <wp:effectExtent l="0" t="0" r="3810" b="3810"/>
            <wp:docPr id="12" name="图片 12" descr="6d622345eeb823f02d15a0e30bc84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6d622345eeb823f02d15a0e30bc8418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5269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图8</w:t>
      </w:r>
    </w:p>
    <w:p>
      <w:pPr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在项目详情页，请务必仔细、完整地阅读：</w:t>
      </w:r>
    </w:p>
    <w:p>
      <w:pPr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1、项目基本信息：了解项目的具体内容、要求、期限、底价等。</w:t>
      </w:r>
    </w:p>
    <w:p>
      <w:pPr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2、报名条件：确认您（或您的经营主体）是否符合所有报名资格要求。</w:t>
      </w:r>
    </w:p>
    <w:p>
      <w:pPr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3、交易规则：了解竞价方式、保证金缴纳、成交规则等。</w:t>
      </w:r>
    </w:p>
    <w:p>
      <w:pPr>
        <w:jc w:val="both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4、附件资料：下载并查看相关文件（招标公告、授权委托书等）。</w:t>
      </w:r>
      <w:r>
        <w:rPr>
          <w:rFonts w:hint="eastAsia"/>
          <w:lang w:val="en-US" w:eastAsia="zh-CN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确认无误并决定参与后，找到并点击页面下方的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“我要报名”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按钮。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如图9。</w:t>
      </w:r>
    </w:p>
    <w:p>
      <w:pPr>
        <w:jc w:val="both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</w:pPr>
    </w:p>
    <w:p>
      <w:pPr>
        <w:jc w:val="both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</w:pPr>
    </w:p>
    <w:p>
      <w:pPr>
        <w:jc w:val="both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</w:pPr>
    </w:p>
    <w:p>
      <w:pPr>
        <w:jc w:val="both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</w:pPr>
    </w:p>
    <w:p>
      <w:pPr>
        <w:jc w:val="both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</w:pPr>
    </w:p>
    <w:p>
      <w:pPr>
        <w:jc w:val="center"/>
        <w:rPr>
          <w:rFonts w:hint="default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default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drawing>
          <wp:inline distT="0" distB="0" distL="114300" distR="114300">
            <wp:extent cx="3557905" cy="7906385"/>
            <wp:effectExtent l="0" t="0" r="8255" b="3175"/>
            <wp:docPr id="13" name="图片 13" descr="405bacf22ed551009c24897f2cfbeb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405bacf22ed551009c24897f2cfbeb7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557905" cy="7906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default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图9</w:t>
      </w:r>
    </w:p>
    <w:p>
      <w:pPr>
        <w:jc w:val="center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</w:pPr>
    </w:p>
    <w:p>
      <w:pPr>
        <w:jc w:val="center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</w:pPr>
    </w:p>
    <w:p>
      <w:pPr>
        <w:jc w:val="center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both"/>
        <w:textAlignment w:val="auto"/>
        <w:rPr>
          <w:rStyle w:val="11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系统跳转到报名信息填写页面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eastAsia="zh-CN"/>
        </w:rPr>
        <w:t>，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勾选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“我已阅读并同意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eastAsia="zh-CN"/>
        </w:rPr>
        <w:t>《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意向受让方承诺书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eastAsia="zh-CN"/>
        </w:rPr>
        <w:t>》、《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江苏省农村产权交易项目报名服务协议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eastAsia="zh-CN"/>
        </w:rPr>
        <w:t>》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”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相关协议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eastAsia="zh-CN"/>
        </w:rPr>
        <w:t>，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若项目要求上传报名人的</w:t>
      </w: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shd w:val="clear" w:fill="FFFFFF"/>
        </w:rPr>
        <w:t>资质等材料</w:t>
      </w: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shd w:val="clear" w:fill="FFFFFF"/>
          <w:lang w:eastAsia="zh-CN"/>
        </w:rPr>
        <w:t>，</w:t>
      </w: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shd w:val="clear" w:fill="FFFFFF"/>
          <w:lang w:val="en-US" w:eastAsia="zh-CN"/>
        </w:rPr>
        <w:t>可点击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555555"/>
          <w:spacing w:val="0"/>
          <w:sz w:val="24"/>
          <w:szCs w:val="24"/>
          <w:shd w:val="clear" w:color="auto" w:fill="auto"/>
          <w:lang w:val="en-US" w:eastAsia="zh-CN"/>
        </w:rPr>
        <w:t>“上传附件”</w:t>
      </w: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shd w:val="clear" w:fill="FFFFFF"/>
          <w:lang w:val="en-US" w:eastAsia="zh-CN"/>
        </w:rPr>
        <w:t>按钮选择附件上传，最后点击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555555"/>
          <w:spacing w:val="0"/>
          <w:sz w:val="24"/>
          <w:szCs w:val="24"/>
          <w:shd w:val="clear" w:fill="FFFFFF"/>
          <w:lang w:val="en-US" w:eastAsia="zh-CN"/>
        </w:rPr>
        <w:t>“获取验证码”，</w:t>
      </w:r>
      <w:r>
        <w:rPr>
          <w:rStyle w:val="11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eastAsia="zh-CN"/>
        </w:rPr>
        <w:t>输入短信收到的验证码，</w:t>
      </w:r>
      <w:r>
        <w:rPr>
          <w:rStyle w:val="11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点击</w:t>
      </w:r>
      <w:r>
        <w:rPr>
          <w:rStyle w:val="11"/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“确认报名”</w:t>
      </w:r>
      <w:r>
        <w:rPr>
          <w:rStyle w:val="11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，完成报名操作，如图10。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center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</w:pPr>
    </w:p>
    <w:p>
      <w:pPr>
        <w:jc w:val="center"/>
        <w:rPr>
          <w:rFonts w:hint="default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default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drawing>
          <wp:inline distT="0" distB="0" distL="114300" distR="114300">
            <wp:extent cx="3198495" cy="7110095"/>
            <wp:effectExtent l="0" t="0" r="1905" b="6985"/>
            <wp:docPr id="15" name="图片 15" descr="a58e1b2cd128a83a2cf52eaa0eaf4c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a58e1b2cd128a83a2cf52eaa0eaf4c1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198495" cy="7110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default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图10</w:t>
      </w:r>
    </w:p>
    <w:p>
      <w:pPr>
        <w:jc w:val="center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</w:pPr>
    </w:p>
    <w:p>
      <w:pPr>
        <w:jc w:val="center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</w:pPr>
    </w:p>
    <w:p>
      <w:pPr>
        <w:pStyle w:val="2"/>
        <w:bidi w:val="0"/>
        <w:rPr>
          <w:rFonts w:hint="default"/>
          <w:lang w:val="en-US" w:eastAsia="zh-CN"/>
        </w:rPr>
      </w:pPr>
      <w:bookmarkStart w:id="4" w:name="_Toc7975"/>
      <w:r>
        <w:rPr>
          <w:rFonts w:hint="eastAsia"/>
          <w:lang w:val="en-US" w:eastAsia="zh-CN"/>
        </w:rPr>
        <w:t>三、缴保证金</w:t>
      </w:r>
      <w:bookmarkEnd w:id="4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报名成功后点击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“产权交易”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页面上的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“已报名”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模块，可查看报名审核状态，若项目需要缴纳报名费或投标保证金，待报名信息审核通过后点击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“待缴款”按钮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，选择缴款方式进行缴款操作，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如图11。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both"/>
        <w:textAlignment w:val="auto"/>
      </w:pPr>
      <w:r>
        <w:drawing>
          <wp:inline distT="0" distB="0" distL="114300" distR="114300">
            <wp:extent cx="5271135" cy="6816090"/>
            <wp:effectExtent l="0" t="0" r="1905" b="11430"/>
            <wp:docPr id="19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6816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center"/>
        <w:textAlignment w:val="auto"/>
        <w:rPr>
          <w:rFonts w:hint="default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图11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</w:pPr>
    </w:p>
    <w:p>
      <w:pPr>
        <w:pStyle w:val="2"/>
        <w:bidi w:val="0"/>
        <w:rPr>
          <w:rFonts w:hint="eastAsia"/>
          <w:lang w:val="en-US" w:eastAsia="zh-CN"/>
        </w:rPr>
      </w:pPr>
      <w:bookmarkStart w:id="5" w:name="_Toc3699"/>
      <w:r>
        <w:rPr>
          <w:rFonts w:hint="eastAsia"/>
          <w:lang w:val="en-US" w:eastAsia="zh-CN"/>
        </w:rPr>
        <w:t>四、出价竞拍</w:t>
      </w:r>
      <w:bookmarkEnd w:id="5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缴款完成后待系统的缴款状态变更为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“已缴款”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，即获得出价竞拍资格，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在项目公告规定的 【竞拍开始时间】 前（建议提前10-15分钟），通过点击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“产权交易”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页面上的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“即将开始竞价”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模块，（</w:t>
      </w:r>
      <w:r>
        <w:rPr>
          <w:rFonts w:hint="eastAsia" w:ascii="宋体" w:hAnsi="宋体" w:eastAsia="宋体" w:cs="宋体"/>
          <w:i w:val="0"/>
          <w:iCs w:val="0"/>
          <w:caps w:val="0"/>
          <w:color w:val="FF0000"/>
          <w:spacing w:val="0"/>
          <w:sz w:val="24"/>
          <w:szCs w:val="24"/>
          <w:shd w:val="clear" w:fill="FFFFFF"/>
          <w:lang w:val="en-US" w:eastAsia="zh-CN"/>
        </w:rPr>
        <w:t>注意：只有交易方式为在线自由竞价、在线多轮竞价、在线抽签的项目会在此模块下显示，线下交易的项目不会在此模块展示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）查看即将开始竞价的项目信息，如图12。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center"/>
        <w:textAlignment w:val="auto"/>
      </w:pPr>
      <w:r>
        <w:drawing>
          <wp:inline distT="0" distB="0" distL="114300" distR="114300">
            <wp:extent cx="5267325" cy="5219065"/>
            <wp:effectExtent l="0" t="0" r="5715" b="8255"/>
            <wp:docPr id="20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5219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center"/>
        <w:textAlignment w:val="auto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图12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FF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在项目详情页点击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“进入网上竞价大厅”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按钮进入竞价大厅，竞价大厅会显示：项目信息、当前最高价、加价幅度、倒计时等，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请再次阅读本场次《竞价规则》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eastAsia="zh-CN"/>
        </w:rPr>
        <w:t>，根据加价幅度输入竞价金额，点击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eastAsia="zh-CN"/>
        </w:rPr>
        <w:t>“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确定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eastAsia="zh-CN"/>
        </w:rPr>
        <w:t>出价”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eastAsia="zh-CN"/>
        </w:rPr>
        <w:t>参与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竞价，如图13。</w:t>
      </w:r>
      <w:r>
        <w:rPr>
          <w:rFonts w:hint="eastAsia" w:ascii="宋体" w:hAnsi="宋体" w:eastAsia="宋体" w:cs="宋体"/>
          <w:i w:val="0"/>
          <w:iCs w:val="0"/>
          <w:caps w:val="0"/>
          <w:color w:val="FF0000"/>
          <w:spacing w:val="0"/>
          <w:sz w:val="24"/>
          <w:szCs w:val="24"/>
          <w:shd w:val="clear" w:fill="FFFFFF"/>
          <w:lang w:val="en-US" w:eastAsia="zh-CN"/>
        </w:rPr>
        <w:t>关键提醒：提前</w:t>
      </w:r>
      <w:bookmarkStart w:id="7" w:name="_GoBack"/>
      <w:r>
        <w:rPr>
          <w:rFonts w:hint="eastAsia" w:ascii="宋体" w:hAnsi="宋体" w:eastAsia="宋体" w:cs="宋体"/>
          <w:i w:val="0"/>
          <w:iCs w:val="0"/>
          <w:caps w:val="0"/>
          <w:color w:val="FF0000"/>
          <w:spacing w:val="0"/>
          <w:sz w:val="24"/>
          <w:szCs w:val="24"/>
          <w:shd w:val="clear" w:fill="FFFFFF"/>
          <w:lang w:val="en-US" w:eastAsia="zh-CN"/>
        </w:rPr>
        <w:t>测试网络，电量充足；看清正向/反向竞价（正向递增、反向递减）；</w:t>
      </w:r>
      <w:bookmarkEnd w:id="7"/>
      <w:r>
        <w:rPr>
          <w:rFonts w:hint="eastAsia" w:ascii="宋体" w:hAnsi="宋体" w:eastAsia="宋体" w:cs="宋体"/>
          <w:i w:val="0"/>
          <w:iCs w:val="0"/>
          <w:caps w:val="0"/>
          <w:color w:val="FF0000"/>
          <w:spacing w:val="0"/>
          <w:sz w:val="24"/>
          <w:szCs w:val="24"/>
          <w:shd w:val="clear" w:fill="FFFFFF"/>
          <w:lang w:val="en-US" w:eastAsia="zh-CN"/>
        </w:rPr>
        <w:t>加价幅度。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FF0000"/>
          <w:spacing w:val="0"/>
          <w:sz w:val="24"/>
          <w:szCs w:val="24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FF0000"/>
          <w:spacing w:val="0"/>
          <w:sz w:val="24"/>
          <w:szCs w:val="24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center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FF0000"/>
          <w:spacing w:val="0"/>
          <w:sz w:val="24"/>
          <w:szCs w:val="24"/>
          <w:shd w:val="clear" w:fill="FFFFFF"/>
          <w:lang w:val="en-US" w:eastAsia="zh-CN"/>
        </w:rPr>
      </w:pPr>
      <w:r>
        <w:drawing>
          <wp:inline distT="0" distB="0" distL="114300" distR="114300">
            <wp:extent cx="3321050" cy="7539990"/>
            <wp:effectExtent l="0" t="0" r="1270" b="381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321050" cy="7539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FF0000"/>
          <w:spacing w:val="0"/>
          <w:sz w:val="24"/>
          <w:szCs w:val="24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center"/>
        <w:textAlignment w:val="auto"/>
        <w:rPr>
          <w:rFonts w:hint="default" w:ascii="宋体" w:hAnsi="宋体" w:eastAsia="宋体" w:cs="宋体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图13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both"/>
        <w:textAlignment w:val="auto"/>
        <w:rPr>
          <w:rFonts w:hint="default" w:ascii="宋体" w:hAnsi="宋体" w:eastAsia="宋体" w:cs="宋体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both"/>
        <w:textAlignment w:val="auto"/>
        <w:rPr>
          <w:rFonts w:hint="default" w:ascii="宋体" w:hAnsi="宋体" w:eastAsia="宋体" w:cs="宋体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both"/>
        <w:textAlignment w:val="auto"/>
        <w:rPr>
          <w:rFonts w:hint="default" w:ascii="宋体" w:hAnsi="宋体" w:eastAsia="宋体" w:cs="宋体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2"/>
        <w:numPr>
          <w:ilvl w:val="0"/>
          <w:numId w:val="2"/>
        </w:numPr>
        <w:bidi w:val="0"/>
      </w:pPr>
      <w:bookmarkStart w:id="6" w:name="_Toc13029"/>
      <w:r>
        <w:t>竞拍结果</w:t>
      </w:r>
      <w:bookmarkEnd w:id="6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交易结束后可在产权交易主页，点击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“我的”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，选择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“已交易项目”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查看交易结果，如图14。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center"/>
        <w:textAlignment w:val="auto"/>
      </w:pPr>
      <w:r>
        <w:drawing>
          <wp:inline distT="0" distB="0" distL="114300" distR="114300">
            <wp:extent cx="5265420" cy="5274945"/>
            <wp:effectExtent l="0" t="0" r="7620" b="13335"/>
            <wp:docPr id="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5274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center"/>
        <w:textAlignment w:val="auto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图14</w:t>
      </w:r>
    </w:p>
    <w:p>
      <w:pPr>
        <w:rPr>
          <w:rFonts w:hint="default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1、竞拍成功：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若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在规定的倒计时结束后，竞拍成功，系统将公示您为“成交候选人”。请等待后续的成交确认通知。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2、竞拍未成功：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若竞拍未成功，您的保证金将在项目结束后按规定原路退还。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3、流标：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如项目无人出价，项目流标，保证金按规定原路退还。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Confetti"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华文中宋">
    <w:altName w:val="汉仪书宋二KW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Segoe UI">
    <w:altName w:val="Arial"/>
    <w:panose1 w:val="020B0502040204020203"/>
    <w:charset w:val="00"/>
    <w:family w:val="auto"/>
    <w:pitch w:val="default"/>
    <w:sig w:usb0="00000000" w:usb1="00000000" w:usb2="00000009" w:usb3="00000000" w:csb0="200001FF" w:csb1="0000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  <w:font w:name="Liberation Serif">
    <w:panose1 w:val="02020603050405020304"/>
    <w:charset w:val="00"/>
    <w:family w:val="auto"/>
    <w:pitch w:val="default"/>
    <w:sig w:usb0="A00002AF" w:usb1="500078FB" w:usb2="00000000" w:usb3="00000000" w:csb0="6000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D2A4705"/>
    <w:multiLevelType w:val="singleLevel"/>
    <w:tmpl w:val="1D2A4705"/>
    <w:lvl w:ilvl="0" w:tentative="0">
      <w:start w:val="1"/>
      <w:numFmt w:val="chineseCounting"/>
      <w:suff w:val="space"/>
      <w:lvlText w:val="%1、"/>
      <w:lvlJc w:val="left"/>
      <w:rPr>
        <w:rFonts w:hint="eastAsia"/>
      </w:rPr>
    </w:lvl>
  </w:abstractNum>
  <w:abstractNum w:abstractNumId="1">
    <w:nsid w:val="615902BB"/>
    <w:multiLevelType w:val="singleLevel"/>
    <w:tmpl w:val="615902BB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8C53D6"/>
    <w:rsid w:val="02C70451"/>
    <w:rsid w:val="0C4B101C"/>
    <w:rsid w:val="0CAA2EB5"/>
    <w:rsid w:val="21CF536C"/>
    <w:rsid w:val="220E7000"/>
    <w:rsid w:val="238C53D6"/>
    <w:rsid w:val="3C6127A9"/>
    <w:rsid w:val="50F70163"/>
    <w:rsid w:val="5ADE5150"/>
    <w:rsid w:val="5DE30E18"/>
    <w:rsid w:val="682352F1"/>
    <w:rsid w:val="772C13AF"/>
    <w:rsid w:val="BFFF8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jc w:val="left"/>
      <w:outlineLvl w:val="0"/>
    </w:pPr>
    <w:rPr>
      <w:rFonts w:eastAsia="宋体" w:asciiTheme="minorAscii" w:hAnsiTheme="minorAscii"/>
      <w:b/>
      <w:kern w:val="44"/>
      <w:sz w:val="28"/>
    </w:rPr>
  </w:style>
  <w:style w:type="paragraph" w:styleId="3">
    <w:name w:val="heading 2"/>
    <w:basedOn w:val="1"/>
    <w:next w:val="1"/>
    <w:link w:val="12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宋体"/>
      <w:b/>
      <w:sz w:val="24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toc 1"/>
    <w:basedOn w:val="1"/>
    <w:next w:val="1"/>
    <w:uiPriority w:val="0"/>
  </w:style>
  <w:style w:type="paragraph" w:styleId="7">
    <w:name w:val="toc 2"/>
    <w:basedOn w:val="1"/>
    <w:next w:val="1"/>
    <w:uiPriority w:val="0"/>
    <w:pPr>
      <w:ind w:left="420" w:leftChars="200"/>
    </w:pPr>
  </w:style>
  <w:style w:type="paragraph" w:styleId="8">
    <w:name w:val="Normal (Web)"/>
    <w:basedOn w:val="1"/>
    <w:uiPriority w:val="0"/>
    <w:rPr>
      <w:sz w:val="24"/>
    </w:rPr>
  </w:style>
  <w:style w:type="character" w:styleId="11">
    <w:name w:val="Strong"/>
    <w:basedOn w:val="10"/>
    <w:qFormat/>
    <w:uiPriority w:val="0"/>
    <w:rPr>
      <w:b/>
    </w:rPr>
  </w:style>
  <w:style w:type="character" w:customStyle="1" w:styleId="12">
    <w:name w:val="标题 2 Char"/>
    <w:link w:val="3"/>
    <w:uiPriority w:val="0"/>
    <w:rPr>
      <w:rFonts w:ascii="Arial" w:hAnsi="Arial" w:eastAsia="宋体"/>
      <w:b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numbering" Target="numbering.xml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15</Pages>
  <Words>41</Words>
  <Characters>48</Characters>
  <Lines>0</Lines>
  <Paragraphs>0</Paragraphs>
  <TotalTime>8</TotalTime>
  <ScaleCrop>false</ScaleCrop>
  <LinksUpToDate>false</LinksUpToDate>
  <CharactersWithSpaces>50</CharactersWithSpaces>
  <Application>WPS Office WWO_dingtalk_20240221035043-c523bba0e7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2026-01-15T14:18:00Z</dcterms:created>
  <dc:creator>it＇s歌唱独白</dc:creator>
  <cp:lastModifiedBy>it＇s歌唱独白</cp:lastModifiedBy>
  <dcterms:modified xsi:type="dcterms:W3CDTF">2026-01-16T15:00:21Z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EF708C745A274BE0B5A61A9943F82874_11</vt:lpwstr>
  </property>
  <property fmtid="{D5CDD505-2E9C-101B-9397-08002B2CF9AE}" pid="4" name="KSOTemplateDocerSaveRecord">
    <vt:lpwstr>eyJoZGlkIjoiMDljYzUzMWQ4OWI0YzBkYjYzMDRhZTY5ZjZkYmFmYTgiLCJ1c2VySWQiOiIzNTI0NDg5NDMifQ==</vt:lpwstr>
  </property>
</Properties>
</file>